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VINA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Autor: Mišmáš AdK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dotýkám se sama sebe, svého svědomí,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toho, co nikdo jiný než já už se nedoví.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slova a skutky, s nimiž člověk se zaplet,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ruší tě ze spánku jak praskání parket.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 jizvy, co prý se nám časem zhojí,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největším zoufalství stále stejně nás bolí.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to kolotoč z matiček a z hřebíků klec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snažit se myšlenkám viny utéct.</w:t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1">
    <w:name w:val="Heading 1"/>
    <w:basedOn w:val="598"/>
    <w:next w:val="598"/>
    <w:link w:val="12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cs="Arial" w:eastAsia="Arial" w:hAnsi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4">
    <w:name w:val="Heading 2 Char"/>
    <w:basedOn w:val="9"/>
    <w:link w:val="13"/>
    <w:uiPriority w:val="9"/>
    <w:rPr>
      <w:rFonts w:ascii="Arial" w:cs="Arial" w:eastAsia="Arial" w:hAnsi="Arial"/>
      <w:sz w:val="34"/>
    </w:rPr>
  </w:style>
  <w:style w:type="paragraph" w:styleId="15">
    <w:name w:val="Heading 3"/>
    <w:basedOn w:val="598"/>
    <w:next w:val="598"/>
    <w:link w:val="16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cs="Arial" w:eastAsia="Arial" w:hAnsi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 w:val="1"/>
    <w:pPr>
      <w:spacing w:after="200" w:before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 w:val="1"/>
    <w:pPr>
      <w:ind w:left="720" w:right="720"/>
    </w:pPr>
    <w:rPr>
      <w:i w:val="1"/>
    </w:rPr>
  </w:style>
  <w:style w:type="character" w:styleId="37">
    <w:name w:val="Quote Char"/>
    <w:link w:val="36"/>
    <w:uiPriority w:val="29"/>
    <w:rPr>
      <w:i w:val="1"/>
    </w:rPr>
  </w:style>
  <w:style w:type="paragraph" w:styleId="38">
    <w:name w:val="Intense Quote"/>
    <w:basedOn w:val="598"/>
    <w:next w:val="598"/>
    <w:link w:val="3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39">
    <w:name w:val="Intense Quote Char"/>
    <w:link w:val="38"/>
    <w:uiPriority w:val="30"/>
    <w:rPr>
      <w:i w:val="1"/>
    </w:rPr>
  </w:style>
  <w:style w:type="paragraph" w:styleId="40">
    <w:name w:val="Header"/>
    <w:basedOn w:val="598"/>
    <w:link w:val="41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2">
    <w:name w:val="Hyperlink"/>
    <w:uiPriority w:val="99"/>
    <w:unhideWhenUsed w:val="1"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 w:val="1"/>
    <w:rPr>
      <w:vertAlign w:val="superscript"/>
    </w:rPr>
  </w:style>
  <w:style w:type="paragraph" w:styleId="176">
    <w:name w:val="endnote text"/>
    <w:basedOn w:val="598"/>
    <w:link w:val="177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 w:val="1"/>
    <w:unhideWhenUsed w:val="1"/>
    <w:rPr>
      <w:vertAlign w:val="superscript"/>
    </w:rPr>
  </w:style>
  <w:style w:type="paragraph" w:styleId="179">
    <w:name w:val="toc 1"/>
    <w:basedOn w:val="598"/>
    <w:next w:val="598"/>
    <w:uiPriority w:val="39"/>
    <w:unhideWhenUsed w:val="1"/>
    <w:pPr>
      <w:spacing w:after="57"/>
      <w:ind w:left="0" w:right="0" w:firstLine="0"/>
    </w:pPr>
  </w:style>
  <w:style w:type="paragraph" w:styleId="180">
    <w:name w:val="toc 2"/>
    <w:basedOn w:val="598"/>
    <w:next w:val="598"/>
    <w:uiPriority w:val="39"/>
    <w:unhideWhenUsed w:val="1"/>
    <w:pPr>
      <w:spacing w:after="57"/>
      <w:ind w:left="283" w:right="0" w:firstLine="0"/>
    </w:pPr>
  </w:style>
  <w:style w:type="paragraph" w:styleId="181">
    <w:name w:val="toc 3"/>
    <w:basedOn w:val="598"/>
    <w:next w:val="598"/>
    <w:uiPriority w:val="39"/>
    <w:unhideWhenUsed w:val="1"/>
    <w:pPr>
      <w:spacing w:after="57"/>
      <w:ind w:left="567" w:right="0" w:firstLine="0"/>
    </w:pPr>
  </w:style>
  <w:style w:type="paragraph" w:styleId="182">
    <w:name w:val="toc 4"/>
    <w:basedOn w:val="598"/>
    <w:next w:val="598"/>
    <w:uiPriority w:val="39"/>
    <w:unhideWhenUsed w:val="1"/>
    <w:pPr>
      <w:spacing w:after="57"/>
      <w:ind w:left="850" w:right="0" w:firstLine="0"/>
    </w:pPr>
  </w:style>
  <w:style w:type="paragraph" w:styleId="183">
    <w:name w:val="toc 5"/>
    <w:basedOn w:val="598"/>
    <w:next w:val="598"/>
    <w:uiPriority w:val="39"/>
    <w:unhideWhenUsed w:val="1"/>
    <w:pPr>
      <w:spacing w:after="57"/>
      <w:ind w:left="1134" w:right="0" w:firstLine="0"/>
    </w:pPr>
  </w:style>
  <w:style w:type="paragraph" w:styleId="184">
    <w:name w:val="toc 6"/>
    <w:basedOn w:val="598"/>
    <w:next w:val="598"/>
    <w:uiPriority w:val="39"/>
    <w:unhideWhenUsed w:val="1"/>
    <w:pPr>
      <w:spacing w:after="57"/>
      <w:ind w:left="1417" w:right="0" w:firstLine="0"/>
    </w:pPr>
  </w:style>
  <w:style w:type="paragraph" w:styleId="185">
    <w:name w:val="toc 7"/>
    <w:basedOn w:val="598"/>
    <w:next w:val="598"/>
    <w:uiPriority w:val="39"/>
    <w:unhideWhenUsed w:val="1"/>
    <w:pPr>
      <w:spacing w:after="57"/>
      <w:ind w:left="1701" w:right="0" w:firstLine="0"/>
    </w:pPr>
  </w:style>
  <w:style w:type="paragraph" w:styleId="186">
    <w:name w:val="toc 8"/>
    <w:basedOn w:val="598"/>
    <w:next w:val="598"/>
    <w:uiPriority w:val="39"/>
    <w:unhideWhenUsed w:val="1"/>
    <w:pPr>
      <w:spacing w:after="57"/>
      <w:ind w:left="1984" w:right="0" w:firstLine="0"/>
    </w:pPr>
  </w:style>
  <w:style w:type="paragraph" w:styleId="187">
    <w:name w:val="toc 9"/>
    <w:basedOn w:val="598"/>
    <w:next w:val="598"/>
    <w:uiPriority w:val="39"/>
    <w:unhideWhenUsed w:val="1"/>
    <w:pPr>
      <w:spacing w:after="57"/>
      <w:ind w:left="2268" w:right="0" w:firstLine="0"/>
    </w:pPr>
  </w:style>
  <w:style w:type="paragraph" w:styleId="188">
    <w:name w:val="TOC Heading"/>
    <w:uiPriority w:val="39"/>
    <w:unhideWhenUsed w:val="1"/>
  </w:style>
  <w:style w:type="paragraph" w:styleId="189">
    <w:name w:val="table of figures"/>
    <w:basedOn w:val="598"/>
    <w:next w:val="598"/>
    <w:uiPriority w:val="99"/>
    <w:unhideWhenUsed w:val="1"/>
    <w:pPr>
      <w:spacing w:after="0" w:afterAutospacing="0"/>
    </w:pPr>
  </w:style>
  <w:style w:type="paragraph" w:styleId="598" w:default="1">
    <w:name w:val="Normal"/>
    <w:qFormat w:val="1"/>
  </w:style>
  <w:style w:type="table" w:styleId="599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600" w:default="1">
    <w:name w:val="No List"/>
    <w:uiPriority w:val="99"/>
    <w:semiHidden w:val="1"/>
    <w:unhideWhenUsed w:val="1"/>
  </w:style>
  <w:style w:type="paragraph" w:styleId="601">
    <w:name w:val="No Spacing"/>
    <w:basedOn w:val="598"/>
    <w:uiPriority w:val="1"/>
    <w:qFormat w:val="1"/>
    <w:pPr>
      <w:spacing w:after="0" w:line="240" w:lineRule="auto"/>
    </w:pPr>
  </w:style>
  <w:style w:type="paragraph" w:styleId="602">
    <w:name w:val="List Paragraph"/>
    <w:basedOn w:val="598"/>
    <w:uiPriority w:val="34"/>
    <w:qFormat w:val="1"/>
    <w:pPr>
      <w:ind w:left="720"/>
      <w:contextualSpacing w:val="1"/>
    </w:pPr>
  </w:style>
  <w:style w:type="character" w:styleId="607" w:default="1">
    <w:name w:val="Default Paragraph Font"/>
    <w:uiPriority w:val="1"/>
    <w:semiHidden w:val="1"/>
    <w:unhideWhenUsed w:val="1"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1z1dQPhu+26ZltgrV6elK0Aig==">CgMxLjA4AHIhMTkxX29CYjRyNGEyOHc0bnpOWU5GWXlLVlFZbjg0X1VC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