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RÁNO NENÍ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pročesávám tvoje řídké vlasy,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 jsme vzadli, co se jenom vzdáti dá.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 za mě země zánik asi,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voda kape a chladné zdi tu nechává.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skrytá prohra v obalu vítězství,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ptám se nebe, co teď s tím,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netuším.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hvězdy mizí a všechno spí.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zavěsím boty na dráty,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jeskyni se teplý oheň rozpíná.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vrátíme se, až své památky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necháme shořet a utopit v hlubinách.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skrytá prohra v obalu vítězství,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ptám se nebe, co teď s tím,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netuším.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hvězdy mizí a všechno spí.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všechno spí,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duše mlčí a brzy zkamení.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spánek poslední je vlastně to jediné, co nás probouzí.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všechno spí, už nelze oklamat to zklamání.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vždyť oni ví, že ráno není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 spánku posledním.</w:t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pvd6lANuynfaGk3rHk4+0yai1w==">CgMxLjA4AHIhMUV1TUo2bnptc3Zhc25WamU3X0VPbXg4Q0pJcG5xTXRU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